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ANNO SCOLASTICO 2022/2023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CARELLI VERONICA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Matematica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1EL 1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ind w:left="360" w:firstLine="0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INSIEMI E LOGICA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Insiemi e loro rappresentazioni (elencazione, diagramma di Venn, caratteristica);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Sottoinsiemi e insieme delle parti;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Operazioni tra insiemi: unione, intersezione, differenza, complementare, prodotto cartesiano, partizione di un insieme;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Simbologia insiemistica relativa agli argomenti elencati sopra;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Semplici problemi risolti con modelli insiemistici;</w:t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NUMERI NATURALI E NUMERI INTERI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Rappresentazione dei numeri naturali e interi sulla retta numerica;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Confronto e simbologia (</w:t>
            </w:r>
            <m:oMath>
              <m:r>
                <m:t>≤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m:oMath>
              <m:r>
                <m:t>≥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m:oMath>
              <m:r>
                <w:rPr>
                  <w:rFonts w:ascii="Arial" w:cs="Arial" w:eastAsia="Arial" w:hAnsi="Arial"/>
                </w:rPr>
                <m:t xml:space="preserve">=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tra numeri naturali e interi;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Proprietà degli insiemi </w:t>
            </w:r>
            <m:oMath>
              <m:r>
                <w:rPr>
                  <w:rFonts w:ascii="Arial" w:cs="Arial" w:eastAsia="Arial" w:hAnsi="Arial"/>
                </w:rPr>
                <m:t xml:space="preserve">N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</w:t>
            </w:r>
            <m:oMath>
              <m:r>
                <w:rPr>
                  <w:rFonts w:ascii="Arial" w:cs="Arial" w:eastAsia="Arial" w:hAnsi="Arial"/>
                </w:rPr>
                <m:t xml:space="preserve">Z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(insiemi infiniti, ordinati, discreti) 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quattro operazioni elementari e le potenze in </w:t>
            </w:r>
            <m:oMath>
              <m:r>
                <w:rPr>
                  <w:rFonts w:ascii="Arial" w:cs="Arial" w:eastAsia="Arial" w:hAnsi="Arial"/>
                </w:rPr>
                <m:t xml:space="preserve">N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</w:t>
            </w:r>
            <m:oMath>
              <m:r>
                <w:rPr>
                  <w:rFonts w:ascii="Arial" w:cs="Arial" w:eastAsia="Arial" w:hAnsi="Arial"/>
                </w:rPr>
                <m:t xml:space="preserve">Z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; il valore assoluto di un numero intero;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legge di annullamento del prodotto;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Espressioni in </w:t>
            </w:r>
            <m:oMath>
              <m:r>
                <w:rPr>
                  <w:rFonts w:ascii="Arial" w:cs="Arial" w:eastAsia="Arial" w:hAnsi="Arial"/>
                </w:rPr>
                <m:t xml:space="preserve">N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</w:t>
            </w:r>
            <m:oMath>
              <m:r>
                <w:rPr>
                  <w:rFonts w:ascii="Arial" w:cs="Arial" w:eastAsia="Arial" w:hAnsi="Arial"/>
                </w:rPr>
                <m:t xml:space="preserve">Z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 e divisori, criteri di divisibilità;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m.c.m. ed M.C.D. e problemi risolvibili mediante il calcolo di m.c.m. ed M.C.D;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NUMERI RAZIONALI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Definizione e rappresentazione grafica di unità frazionaria;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Definizione e rappresentazione grafica e sulla retta numerica di frazione e confronto tra frazioni;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Frazioni proprie, improprie, apparenti, ridotte ai minimi termini, equivalenti;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quattro operazioni con le frazioni e la potenza di una frazione;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Semplici problemi con le frazioni;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Rappresentazione di frazioni tramite numero decimale;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Trasformazione di una frazione in numero decimale: numero decimale finito, periodico semplice, periodico misto;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Approssimazione di un numero decimale;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Proporzioni e percentuali: proprietà fondamentale delle proporzioni, cenni alle altre proprietà, problemi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INTRODUZIONE AL CALCOLO LETTERALE E MONOMI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Variabili e costanti;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Classificazione di alcune espressioni algebriche: razionali e irrazionali, intere e frazionarie;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Valore di un’espressione algebrica;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Monomi: definizione, forma normale, grado rispetto ad una variabile, grado complessivo, monomi simili, uguali, opposti;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Operazioni con i monomi; addizione, sottrazione, moltiplicazione, divisione, e potenza;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M.C.D. ed m.c.m. tra monomi;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Problemi con i monomi applicati al calcolo di aree e perimetri di figure piane;</w:t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POLINOMI E DIVISIBILITÀ TRA POLINOMI</w:t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Definizione,significato della notazione </w:t>
            </w:r>
            <m:oMath>
              <m:r>
                <w:rPr>
                  <w:rFonts w:ascii="Arial" w:cs="Arial" w:eastAsia="Arial" w:hAnsi="Arial"/>
                </w:rPr>
                <m:t xml:space="preserve">P(x)</m:t>
              </m:r>
            </m:oMath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termini e forma normale di un polinomio, grado di un polinomio rispetto ad una variabile e grado complessivo, polinomi ordinati e completi, zeri di un polinomio;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Operazioni tra polinomi: addizione, sottrazione, moltiplicazione di un polinomio per un monomio, moltiplicazione tra polinomi,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prodotti notevoli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divisione tra polinomi;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Prodotti notevoli: quadrato di binomio, somma per differenza, quadrato di trinomio, cubo di binomio, prodotto di un binomio per il suo falso quadrato, prodotto di due binomi il cui risultato è un trinomio particolare di primo tipo;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Divisione tra polinomi: condizione di divisibilità tra polinomi, divisione di un polinomio per un monomio, divisione con resto fra due polinomi, divisione tra polinomi con la regola di Ruffini, teorema del resto e teorema di Ruffini;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SCOMPOSIZIONI E FRAZIONI ALGEBRICHE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Polinomi scomponibili, riducibili e irriducibili;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Raccoglimento a fattor comune e raccoglimento a fattor parziale;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Scomposizione mediante prodotti notevoli: differenza di quadrati, sviluppo del quadrato di binomio, sviluppo del quadrato di trinomio,  sviluppo del cubo di binomio, somma e differenza di cubi, scomposizioni dei trinomi particolari di primo tipo e di secondo tipo;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Scomposizione mediante la regola di Ruffini;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M.C.D. e m.c.m. tra polinomi;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Frazioni algebriche: definizione, frazioni equivalenti, frazioni ridotte ai minimi termini;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Calcolo del dominio di una frazione algebrica in casi semplici. (Il calcolo del dominio è stato affrontato nel capitolo relativo alle equazioni numeriche intere di primo grado). Operazioni tra frazioni algebriche: addizione e sottrazione, moltiplicazione, elevamento a potenza  divisione tra frazioni algebriche;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STATISTICA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Unità svolta insieme all’unità di educazione civica)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linguaggio della statistica: popolazione, unità statistica, campione, carattere, modalità, dato statistico, carattere quantitativo o qualitativo, carattere continuo o discreto;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Frequenza assoluta, frequenza relativa, frequenza relativa percentuale, frequenza cumulata, tabella delle distribuzioni di frequenza;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Rappresentazioni grafiche: diagramma a barre, diagramma circolare, diagramma cartesiano, istogramma e densità di frequenza;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Suddivisione per classi;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Indici di posizione: media, mediana e moda;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Campo di variabilità: scarto semplice, scarto semplice medio, deviazione standard;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PIANO EUCLIDEO</w:t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concetti primitivi; punto, retta, piano;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Assiomi di appartenenza e assiomi d’ordine: rappresentazione della situazione descritta dall’ assioma;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Fascio proprio e improprio di rette: definizione e illustrazione;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parti della retta: semiretta e sua origine, segmenti, segmenti consecutivi, segmenti adiacenti;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Semipiani e angoli: semipiano, angolo, angoli consecutivi, angoli adiacenti, angoli opposti al vertice, angoli notevoli (giro, piatto,nullo);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Poligoni e loro parti: poligonale (chiusa, aperta, intrecciata) , poligono, poligono regolare, corda, diagonale, angoli interni, angoli esterni, figura convessa, figura concava;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Teorema e dimostrazione: definizione e semplici esempi;</w:t>
            </w:r>
          </w:p>
          <w:p w:rsidR="00000000" w:rsidDel="00000000" w:rsidP="00000000" w:rsidRDefault="00000000" w:rsidRPr="00000000" w14:paraId="00000059">
            <w:pPr>
              <w:spacing w:after="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 CONGRUENZA E LA MISURA</w:t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Figure uguali, movimento rigido e figure congruenti, figure equivalenti;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Definizione qualitativa di figure simili;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Definizioni: punto medio, bisettrice, angolo retto, acuto, ottuso, angoli complementari, supplementari, esplementari;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Congruenza tra segmenti;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Congruenza tra angoli;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Misura di segmenti e di angoli e semplici problemi che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fanno uso di equazioni;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Dimostrazioni: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rappresentazione, individuazione delle ipotesi e della tesi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svolgimento della dimostrazione;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EQUAZIONI DI PRIMO GRADO NUMERICHE INTERE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rtl w:val="0"/>
              </w:rPr>
              <w:t xml:space="preserve">(Non è stata svolta una verifica finale)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Equazione e identità: definizione e differenza;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Soluzione di un’equazione: definizione e verifica;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Soluzione determinate, indeterminate, impossibili;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Definizione del dominio di un’equazione e semplici esempi;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Primo e secondo principio di equivalenza;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Applicazioni: calcolo del dominio di una frazione algebrica.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14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1.0" w:type="dxa"/>
        <w:jc w:val="left"/>
        <w:tblInd w:w="-176.0" w:type="dxa"/>
        <w:tblLayout w:type="fixed"/>
        <w:tblLook w:val="0400"/>
      </w:tblPr>
      <w:tblGrid>
        <w:gridCol w:w="10111"/>
        <w:tblGridChange w:id="0">
          <w:tblGrid>
            <w:gridCol w:w="10111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COLORI DELLA MATEMATICA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EDIZIONE VERDE vol.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e quaderno di recupero (con eBook)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Leonardo Sasso, Enrico Zoli 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ed. Petrini</w:t>
            </w:r>
          </w:p>
        </w:tc>
      </w:tr>
    </w:tbl>
    <w:p w:rsidR="00000000" w:rsidDel="00000000" w:rsidP="00000000" w:rsidRDefault="00000000" w:rsidRPr="00000000" w14:paraId="00000075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3" w:line="263.00000000000006" w:lineRule="auto"/>
        <w:ind w:right="12" w:firstLine="708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3"/>
        <w:gridCol w:w="2104"/>
        <w:gridCol w:w="1645"/>
        <w:gridCol w:w="1676"/>
        <w:gridCol w:w="3520"/>
        <w:tblGridChange w:id="0">
          <w:tblGrid>
            <w:gridCol w:w="693"/>
            <w:gridCol w:w="2104"/>
            <w:gridCol w:w="1645"/>
            <w:gridCol w:w="1676"/>
            <w:gridCol w:w="3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01/06/2023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Docente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Carelli Veronica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Calandra Daniele</w:t>
            </w:r>
          </w:p>
          <w:p w:rsidR="00000000" w:rsidDel="00000000" w:rsidP="00000000" w:rsidRDefault="00000000" w:rsidRPr="00000000" w14:paraId="0000008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Venuti Nicolò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-197482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semiHidden w:val="1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 w:val="1"/>
    <w:rsid w:val="00E11C2C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CtW4IpSI+jkWlvJ6rQKtqTeQA==">CgMxLjA4AHIhMXBXNU9RQWJGLXgzc01xMGxXYkE1bnlfa1poRXRkUVh4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2023-05-30T14:49:00Z</dcterms:created>
  <dc:creator>@</dc:creator>
</cp:coreProperties>
</file>